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935E9">
      <w:pPr>
        <w:keepNext w:val="0"/>
        <w:keepLines w:val="0"/>
        <w:pageBreakBefore w:val="0"/>
        <w:widowControl w:val="0"/>
        <w:kinsoku/>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福建省九龙江流域</w:t>
      </w:r>
      <w:r>
        <w:rPr>
          <w:rFonts w:hint="eastAsia" w:ascii="方正小标宋简体" w:hAnsi="方正小标宋简体" w:eastAsia="方正小标宋简体" w:cs="方正小标宋简体"/>
          <w:sz w:val="36"/>
          <w:szCs w:val="36"/>
          <w:highlight w:val="none"/>
        </w:rPr>
        <w:t>中心办公网络通讯项目</w:t>
      </w:r>
      <w:r>
        <w:rPr>
          <w:rFonts w:hint="eastAsia" w:ascii="方正小标宋简体" w:hAnsi="方正小标宋简体" w:eastAsia="方正小标宋简体" w:cs="方正小标宋简体"/>
          <w:sz w:val="36"/>
          <w:szCs w:val="36"/>
          <w:highlight w:val="none"/>
          <w:lang w:eastAsia="zh-CN"/>
        </w:rPr>
        <w:t>（</w:t>
      </w:r>
      <w:r>
        <w:rPr>
          <w:rFonts w:hint="eastAsia" w:ascii="方正小标宋简体" w:hAnsi="方正小标宋简体" w:eastAsia="方正小标宋简体" w:cs="方正小标宋简体"/>
          <w:sz w:val="36"/>
          <w:szCs w:val="36"/>
          <w:highlight w:val="none"/>
          <w:lang w:val="en-US" w:eastAsia="zh-CN"/>
        </w:rPr>
        <w:t>2025</w:t>
      </w:r>
      <w:r>
        <w:rPr>
          <w:rFonts w:hint="eastAsia" w:ascii="方正小标宋简体" w:hAnsi="方正小标宋简体" w:eastAsia="方正小标宋简体" w:cs="方正小标宋简体"/>
          <w:sz w:val="36"/>
          <w:szCs w:val="36"/>
          <w:highlight w:val="none"/>
          <w:lang w:eastAsia="zh-CN"/>
        </w:rPr>
        <w:t>）</w:t>
      </w:r>
      <w:r>
        <w:rPr>
          <w:rFonts w:hint="eastAsia" w:ascii="方正小标宋简体" w:hAnsi="方正小标宋简体" w:eastAsia="方正小标宋简体" w:cs="方正小标宋简体"/>
          <w:sz w:val="36"/>
          <w:szCs w:val="36"/>
          <w:highlight w:val="none"/>
        </w:rPr>
        <w:br w:type="textWrapping"/>
      </w:r>
      <w:r>
        <w:rPr>
          <w:rFonts w:hint="eastAsia" w:ascii="方正小标宋简体" w:hAnsi="方正小标宋简体" w:eastAsia="方正小标宋简体" w:cs="方正小标宋简体"/>
          <w:sz w:val="36"/>
          <w:szCs w:val="36"/>
          <w:highlight w:val="none"/>
        </w:rPr>
        <w:t>技术服务及商务要求</w:t>
      </w:r>
      <w:r>
        <w:rPr>
          <w:rFonts w:hint="eastAsia" w:ascii="方正小标宋简体" w:hAnsi="方正小标宋简体" w:eastAsia="方正小标宋简体" w:cs="方正小标宋简体"/>
          <w:sz w:val="36"/>
          <w:szCs w:val="36"/>
          <w:highlight w:val="none"/>
          <w:lang w:val="en-US" w:eastAsia="zh-CN"/>
        </w:rPr>
        <w:t>承诺函</w:t>
      </w:r>
    </w:p>
    <w:p w14:paraId="38AD688D">
      <w:pPr>
        <w:keepNext w:val="0"/>
        <w:keepLines w:val="0"/>
        <w:pageBreakBefore w:val="0"/>
        <w:kinsoku/>
        <w:wordWrap w:val="0"/>
        <w:overflowPunct/>
        <w:topLinePunct w:val="0"/>
        <w:autoSpaceDE/>
        <w:autoSpaceDN/>
        <w:bidi w:val="0"/>
        <w:adjustRightInd/>
        <w:snapToGrid/>
        <w:spacing w:before="0" w:after="0" w:line="560" w:lineRule="exact"/>
        <w:ind w:firstLine="0"/>
        <w:jc w:val="both"/>
        <w:textAlignment w:val="auto"/>
        <w:rPr>
          <w:rFonts w:hint="eastAsia" w:ascii="方正仿宋_GB2312" w:hAnsi="方正仿宋_GB2312" w:eastAsia="方正仿宋_GB2312" w:cs="方正仿宋_GB2312"/>
          <w:color w:val="000000"/>
          <w:sz w:val="30"/>
          <w:szCs w:val="30"/>
          <w:highlight w:val="none"/>
        </w:rPr>
      </w:pPr>
    </w:p>
    <w:p w14:paraId="218A4060">
      <w:pPr>
        <w:pStyle w:val="19"/>
        <w:keepNext w:val="0"/>
        <w:keepLines w:val="0"/>
        <w:pageBreakBefore w:val="0"/>
        <w:numPr>
          <w:ilvl w:val="0"/>
          <w:numId w:val="1"/>
        </w:numPr>
        <w:tabs>
          <w:tab w:val="left" w:pos="1083"/>
        </w:tabs>
        <w:kinsoku/>
        <w:wordWrap/>
        <w:overflowPunct/>
        <w:topLinePunct w:val="0"/>
        <w:autoSpaceDE/>
        <w:autoSpaceDN/>
        <w:bidi w:val="0"/>
        <w:adjustRightInd/>
        <w:snapToGrid/>
        <w:spacing w:after="0" w:line="560" w:lineRule="exact"/>
        <w:ind w:left="0" w:leftChars="0" w:firstLine="602" w:firstLineChars="200"/>
        <w:textAlignment w:val="auto"/>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技术服务及商务要求</w:t>
      </w:r>
    </w:p>
    <w:p w14:paraId="526BFEEC">
      <w:pPr>
        <w:pStyle w:val="11"/>
        <w:keepNext w:val="0"/>
        <w:keepLines w:val="0"/>
        <w:pageBreakBefore w:val="0"/>
        <w:numPr>
          <w:ilvl w:val="0"/>
          <w:numId w:val="2"/>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 xml:space="preserve"> 投标人技术资格要求：</w:t>
      </w:r>
    </w:p>
    <w:p w14:paraId="1C827E48">
      <w:pPr>
        <w:pStyle w:val="11"/>
        <w:keepNext w:val="0"/>
        <w:keepLines w:val="0"/>
        <w:pageBreakBefore w:val="0"/>
        <w:numPr>
          <w:ilvl w:val="0"/>
          <w:numId w:val="0"/>
        </w:numPr>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（1）投标人必须是在</w:t>
      </w:r>
      <w:r>
        <w:rPr>
          <w:rFonts w:hint="eastAsia" w:ascii="仿宋_GB2312" w:hAnsi="仿宋_GB2312" w:eastAsia="仿宋_GB2312" w:cs="仿宋_GB2312"/>
          <w:color w:val="auto"/>
          <w:sz w:val="30"/>
          <w:szCs w:val="30"/>
          <w:highlight w:val="none"/>
          <w:lang w:val="en-US" w:eastAsia="zh-CN"/>
        </w:rPr>
        <w:t>采购人</w:t>
      </w:r>
      <w:r>
        <w:rPr>
          <w:rFonts w:hint="eastAsia" w:ascii="仿宋_GB2312" w:hAnsi="仿宋_GB2312" w:eastAsia="仿宋_GB2312" w:cs="仿宋_GB2312"/>
          <w:color w:val="000000"/>
          <w:sz w:val="30"/>
          <w:szCs w:val="30"/>
          <w:highlight w:val="none"/>
          <w:lang w:val="en-US" w:eastAsia="zh-CN"/>
        </w:rPr>
        <w:t>工程所在地的地市内注册的，且有能力在工程所在地的地市内提供通讯线路服务的运营商或其分支机构，具有福建省内各地市及区县的固网国内数据传送业务能力及无线数据传输能力，并拥有省内各地市及区县的基础通讯网络线路，并能够提供长期线路维护、服务和履行合同的能力(需</w:t>
      </w:r>
      <w:bookmarkStart w:id="0" w:name="_GoBack"/>
      <w:bookmarkEnd w:id="0"/>
      <w:r>
        <w:rPr>
          <w:rFonts w:hint="eastAsia" w:ascii="仿宋_GB2312" w:hAnsi="仿宋_GB2312" w:eastAsia="仿宋_GB2312" w:cs="仿宋_GB2312"/>
          <w:color w:val="000000"/>
          <w:sz w:val="30"/>
          <w:szCs w:val="30"/>
          <w:highlight w:val="none"/>
          <w:lang w:val="en-US" w:eastAsia="zh-CN"/>
        </w:rPr>
        <w:t>提供声明函)。</w:t>
      </w:r>
    </w:p>
    <w:p w14:paraId="740C4D9C">
      <w:pPr>
        <w:pStyle w:val="11"/>
        <w:keepNext w:val="0"/>
        <w:keepLines w:val="0"/>
        <w:pageBreakBefore w:val="0"/>
        <w:numPr>
          <w:ilvl w:val="0"/>
          <w:numId w:val="0"/>
        </w:numPr>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（2）投标人或其总公司须具有工信部颁发的在服务期内持续有效的《中华人民共和国基础电信业务经营许可证》资质证书（需提供复印件或扫描件）。</w:t>
      </w:r>
    </w:p>
    <w:p w14:paraId="01C2EBC1">
      <w:pPr>
        <w:pStyle w:val="11"/>
        <w:keepNext w:val="0"/>
        <w:keepLines w:val="0"/>
        <w:pageBreakBefore w:val="0"/>
        <w:numPr>
          <w:ilvl w:val="0"/>
          <w:numId w:val="0"/>
        </w:numPr>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2. </w:t>
      </w:r>
      <w:r>
        <w:rPr>
          <w:rFonts w:hint="eastAsia" w:ascii="仿宋_GB2312" w:hAnsi="仿宋_GB2312" w:eastAsia="仿宋_GB2312" w:cs="仿宋_GB2312"/>
          <w:color w:val="000000"/>
          <w:sz w:val="30"/>
          <w:szCs w:val="30"/>
          <w:highlight w:val="none"/>
        </w:rPr>
        <w:t>供应商所提供的网络系统的需保证稳定可靠，在网络设计中选用高可靠性网络产品，合理设计网络架构，保证网络可靠性，最大限度地支持采购人工作的正常运行。保证满足工作需求的同时，又要体现出网络系统的先进性。根据未来业务的增长和变化，网络可以平滑地扩充和升级，最大程度的减少对网络架构和现有设备的调整。</w:t>
      </w:r>
    </w:p>
    <w:p w14:paraId="2C3F455F">
      <w:pPr>
        <w:pStyle w:val="11"/>
        <w:keepNext w:val="0"/>
        <w:keepLines w:val="0"/>
        <w:pageBreakBefore w:val="0"/>
        <w:numPr>
          <w:ilvl w:val="0"/>
          <w:numId w:val="0"/>
        </w:numPr>
        <w:tabs>
          <w:tab w:val="left" w:pos="840"/>
        </w:tabs>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3. </w:t>
      </w:r>
      <w:r>
        <w:rPr>
          <w:rFonts w:hint="eastAsia" w:ascii="仿宋_GB2312" w:hAnsi="仿宋_GB2312" w:eastAsia="仿宋_GB2312" w:cs="仿宋_GB2312"/>
          <w:color w:val="000000"/>
          <w:sz w:val="30"/>
          <w:szCs w:val="30"/>
          <w:highlight w:val="none"/>
        </w:rPr>
        <w:t>链路开通使用期间未经告知采购人并进行协商的情况下，中标人不允许擅自中断停用链路服务。</w:t>
      </w:r>
    </w:p>
    <w:p w14:paraId="5BCE16CF">
      <w:pPr>
        <w:pStyle w:val="11"/>
        <w:keepNext w:val="0"/>
        <w:keepLines w:val="0"/>
        <w:pageBreakBefore w:val="0"/>
        <w:numPr>
          <w:ilvl w:val="0"/>
          <w:numId w:val="0"/>
        </w:numPr>
        <w:tabs>
          <w:tab w:val="left" w:pos="840"/>
        </w:tabs>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4. </w:t>
      </w:r>
      <w:r>
        <w:rPr>
          <w:rFonts w:hint="eastAsia" w:ascii="仿宋_GB2312" w:hAnsi="仿宋_GB2312" w:eastAsia="仿宋_GB2312" w:cs="仿宋_GB2312"/>
          <w:color w:val="000000"/>
          <w:sz w:val="30"/>
          <w:szCs w:val="30"/>
          <w:highlight w:val="none"/>
        </w:rPr>
        <w:t>链路提供服务期间，采购人变更链路数量中标人需无条件配合，链路费用按实结算。</w:t>
      </w:r>
    </w:p>
    <w:p w14:paraId="5F1F051C">
      <w:pPr>
        <w:pStyle w:val="11"/>
        <w:keepNext w:val="0"/>
        <w:keepLines w:val="0"/>
        <w:pageBreakBefore w:val="0"/>
        <w:numPr>
          <w:ilvl w:val="0"/>
          <w:numId w:val="0"/>
        </w:numPr>
        <w:tabs>
          <w:tab w:val="left" w:pos="840"/>
        </w:tabs>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5. </w:t>
      </w:r>
      <w:r>
        <w:rPr>
          <w:rFonts w:hint="eastAsia" w:ascii="仿宋_GB2312" w:hAnsi="仿宋_GB2312" w:eastAsia="仿宋_GB2312" w:cs="仿宋_GB2312"/>
          <w:color w:val="000000"/>
          <w:sz w:val="30"/>
          <w:szCs w:val="30"/>
          <w:highlight w:val="none"/>
        </w:rPr>
        <w:t>供应商需承诺提供指定人员在采购人本地驻点。（需提供承诺并加盖公章）</w:t>
      </w:r>
    </w:p>
    <w:p w14:paraId="3A02D6CB">
      <w:pPr>
        <w:pStyle w:val="11"/>
        <w:keepNext w:val="0"/>
        <w:keepLines w:val="0"/>
        <w:pageBreakBefore w:val="0"/>
        <w:numPr>
          <w:ilvl w:val="0"/>
          <w:numId w:val="0"/>
        </w:numPr>
        <w:tabs>
          <w:tab w:val="left" w:pos="840"/>
        </w:tabs>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6. </w:t>
      </w:r>
      <w:r>
        <w:rPr>
          <w:rFonts w:hint="eastAsia" w:ascii="仿宋_GB2312" w:hAnsi="仿宋_GB2312" w:eastAsia="仿宋_GB2312" w:cs="仿宋_GB2312"/>
          <w:color w:val="000000"/>
          <w:sz w:val="30"/>
          <w:szCs w:val="30"/>
          <w:highlight w:val="none"/>
        </w:rPr>
        <w:t>供应商应提供互联网和</w:t>
      </w:r>
      <w:r>
        <w:rPr>
          <w:rFonts w:hint="eastAsia" w:ascii="仿宋_GB2312" w:hAnsi="仿宋_GB2312" w:eastAsia="仿宋_GB2312" w:cs="仿宋_GB2312"/>
          <w:color w:val="000000"/>
          <w:sz w:val="30"/>
          <w:szCs w:val="30"/>
          <w:highlight w:val="none"/>
          <w:lang w:val="en-US" w:eastAsia="zh-CN"/>
        </w:rPr>
        <w:t>政务外（内）</w:t>
      </w:r>
      <w:r>
        <w:rPr>
          <w:rFonts w:hint="eastAsia" w:ascii="仿宋_GB2312" w:hAnsi="仿宋_GB2312" w:eastAsia="仿宋_GB2312" w:cs="仿宋_GB2312"/>
          <w:color w:val="000000"/>
          <w:sz w:val="30"/>
          <w:szCs w:val="30"/>
          <w:highlight w:val="none"/>
        </w:rPr>
        <w:t>专线线路所需的相关网络设备，同时为确保为保障数据保密及安全性，供应商应提供的广域网专线使用的设备，在支持上网行为管理的同时，需支持基于应用协议和应用协议群组的流量镜像、基于域名和URL的流量镜像及基于时间的流量镜像。（需提供承诺并加盖公章并加盖公章）</w:t>
      </w:r>
    </w:p>
    <w:p w14:paraId="5F58B4FF">
      <w:pPr>
        <w:pStyle w:val="11"/>
        <w:keepNext w:val="0"/>
        <w:keepLines w:val="0"/>
        <w:pageBreakBefore w:val="0"/>
        <w:numPr>
          <w:ilvl w:val="0"/>
          <w:numId w:val="0"/>
        </w:numPr>
        <w:tabs>
          <w:tab w:val="left" w:pos="840"/>
        </w:tabs>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7. </w:t>
      </w:r>
      <w:r>
        <w:rPr>
          <w:rFonts w:hint="eastAsia" w:ascii="仿宋_GB2312" w:hAnsi="仿宋_GB2312" w:eastAsia="仿宋_GB2312" w:cs="仿宋_GB2312"/>
          <w:color w:val="000000"/>
          <w:sz w:val="30"/>
          <w:szCs w:val="30"/>
          <w:highlight w:val="none"/>
        </w:rPr>
        <w:t>中标方需协调原通讯运营商保证除宽带以外的其他通讯业务的号码不变。</w:t>
      </w:r>
    </w:p>
    <w:p w14:paraId="6967FAD8">
      <w:pPr>
        <w:pStyle w:val="11"/>
        <w:keepNext w:val="0"/>
        <w:keepLines w:val="0"/>
        <w:pageBreakBefore w:val="0"/>
        <w:numPr>
          <w:ilvl w:val="0"/>
          <w:numId w:val="0"/>
        </w:numPr>
        <w:tabs>
          <w:tab w:val="left" w:pos="840"/>
        </w:tabs>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8. </w:t>
      </w:r>
      <w:r>
        <w:rPr>
          <w:rFonts w:hint="eastAsia" w:ascii="仿宋_GB2312" w:hAnsi="仿宋_GB2312" w:eastAsia="仿宋_GB2312" w:cs="仿宋_GB2312"/>
          <w:color w:val="000000"/>
          <w:sz w:val="30"/>
          <w:szCs w:val="30"/>
          <w:highlight w:val="none"/>
        </w:rPr>
        <w:t>中标方需提供的线路及设备的运输、安装、调试、维护、通信、税费等费用均包含在中标金额内。</w:t>
      </w:r>
    </w:p>
    <w:p w14:paraId="22B79563">
      <w:pPr>
        <w:pStyle w:val="19"/>
        <w:keepNext w:val="0"/>
        <w:keepLines w:val="0"/>
        <w:pageBreakBefore w:val="0"/>
        <w:numPr>
          <w:ilvl w:val="0"/>
          <w:numId w:val="1"/>
        </w:numPr>
        <w:tabs>
          <w:tab w:val="left" w:pos="1083"/>
        </w:tabs>
        <w:kinsoku/>
        <w:wordWrap/>
        <w:overflowPunct/>
        <w:topLinePunct w:val="0"/>
        <w:autoSpaceDE/>
        <w:autoSpaceDN/>
        <w:bidi w:val="0"/>
        <w:adjustRightInd/>
        <w:snapToGrid/>
        <w:spacing w:after="0" w:line="560" w:lineRule="exact"/>
        <w:ind w:firstLine="602"/>
        <w:textAlignment w:val="auto"/>
        <w:outlineLvl w:val="0"/>
        <w:rPr>
          <w:rFonts w:hint="eastAsia" w:ascii="仿宋_GB2312" w:hAnsi="仿宋_GB2312" w:eastAsia="仿宋_GB2312" w:cs="仿宋_GB2312"/>
          <w:b/>
          <w:sz w:val="30"/>
          <w:szCs w:val="30"/>
          <w:highlight w:val="none"/>
          <w:lang w:val="en-US" w:eastAsia="zh-CN"/>
        </w:rPr>
      </w:pPr>
      <w:r>
        <w:rPr>
          <w:rFonts w:hint="eastAsia" w:ascii="仿宋_GB2312" w:hAnsi="仿宋_GB2312" w:eastAsia="仿宋_GB2312" w:cs="仿宋_GB2312"/>
          <w:sz w:val="30"/>
          <w:szCs w:val="30"/>
          <w:highlight w:val="none"/>
          <w:lang w:val="en-US" w:eastAsia="zh-CN"/>
        </w:rPr>
        <w:t>售后服务要求</w:t>
      </w:r>
    </w:p>
    <w:p w14:paraId="4B4FC367">
      <w:pPr>
        <w:pStyle w:val="11"/>
        <w:keepNext w:val="0"/>
        <w:keepLines w:val="0"/>
        <w:pageBreakBefore w:val="0"/>
        <w:numPr>
          <w:ilvl w:val="0"/>
          <w:numId w:val="3"/>
        </w:numPr>
        <w:tabs>
          <w:tab w:val="left" w:pos="840"/>
        </w:tabs>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rPr>
        <w:t>供应商需在30个日历日内完成接通工作。</w:t>
      </w:r>
    </w:p>
    <w:p w14:paraId="0F442EC8">
      <w:pPr>
        <w:pStyle w:val="11"/>
        <w:keepNext w:val="0"/>
        <w:keepLines w:val="0"/>
        <w:pageBreakBefore w:val="0"/>
        <w:numPr>
          <w:ilvl w:val="0"/>
          <w:numId w:val="3"/>
        </w:numPr>
        <w:tabs>
          <w:tab w:val="left" w:pos="840"/>
        </w:tabs>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rPr>
        <w:t>系统故障响应时间在2小时内，故障恢复时间应在24小时内，24小时内不能排除故障的，要提供解决方案并在采购人规定期限内排除故障。</w:t>
      </w:r>
    </w:p>
    <w:p w14:paraId="1F82B55E">
      <w:pPr>
        <w:pStyle w:val="11"/>
        <w:keepNext w:val="0"/>
        <w:keepLines w:val="0"/>
        <w:pageBreakBefore w:val="0"/>
        <w:numPr>
          <w:ilvl w:val="0"/>
          <w:numId w:val="3"/>
        </w:numPr>
        <w:tabs>
          <w:tab w:val="left" w:pos="840"/>
        </w:tabs>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rPr>
        <w:t>供应商应依据谈判文件要求及响应文件所作承诺履行职责，如有违约，采购人有权根据协议、合同采取措施保证本次采购服务的顺利进行，并相应追究违约方的违约责任。</w:t>
      </w:r>
    </w:p>
    <w:p w14:paraId="3A1C1FC9">
      <w:pPr>
        <w:pStyle w:val="11"/>
        <w:keepNext w:val="0"/>
        <w:keepLines w:val="0"/>
        <w:pageBreakBefore w:val="0"/>
        <w:numPr>
          <w:ilvl w:val="0"/>
          <w:numId w:val="3"/>
        </w:numPr>
        <w:tabs>
          <w:tab w:val="left" w:pos="840"/>
        </w:tabs>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rPr>
        <w:t>服务要求：产品必须有稳定的售后服务体系。</w:t>
      </w:r>
    </w:p>
    <w:p w14:paraId="06A4F0BD">
      <w:pPr>
        <w:pStyle w:val="11"/>
        <w:keepNext w:val="0"/>
        <w:keepLines w:val="0"/>
        <w:pageBreakBefore w:val="0"/>
        <w:numPr>
          <w:ilvl w:val="0"/>
          <w:numId w:val="3"/>
        </w:numPr>
        <w:tabs>
          <w:tab w:val="left" w:pos="840"/>
        </w:tabs>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rPr>
        <w:t>供应商应根据采购人指定的地点提供免费安装、调试服务。</w:t>
      </w:r>
    </w:p>
    <w:p w14:paraId="3FB90D7E">
      <w:pPr>
        <w:pStyle w:val="11"/>
        <w:keepNext w:val="0"/>
        <w:keepLines w:val="0"/>
        <w:pageBreakBefore w:val="0"/>
        <w:numPr>
          <w:ilvl w:val="0"/>
          <w:numId w:val="3"/>
        </w:numPr>
        <w:tabs>
          <w:tab w:val="left" w:pos="840"/>
        </w:tabs>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color w:val="000000"/>
          <w:sz w:val="30"/>
          <w:szCs w:val="30"/>
          <w:highlight w:val="none"/>
        </w:rPr>
      </w:pPr>
      <w:r>
        <w:rPr>
          <w:rFonts w:hint="eastAsia" w:ascii="仿宋_GB2312" w:hAnsi="仿宋_GB2312" w:eastAsia="仿宋_GB2312" w:cs="仿宋_GB2312"/>
          <w:color w:val="000000"/>
          <w:sz w:val="30"/>
          <w:szCs w:val="30"/>
          <w:highlight w:val="none"/>
        </w:rPr>
        <w:t>供应商认为有利于采购人的其他优惠条款应单独列明。</w:t>
      </w:r>
    </w:p>
    <w:p w14:paraId="610F4CC6">
      <w:pPr>
        <w:pStyle w:val="19"/>
        <w:keepNext w:val="0"/>
        <w:keepLines w:val="0"/>
        <w:pageBreakBefore w:val="0"/>
        <w:numPr>
          <w:ilvl w:val="0"/>
          <w:numId w:val="1"/>
        </w:numPr>
        <w:tabs>
          <w:tab w:val="left" w:pos="1083"/>
        </w:tabs>
        <w:kinsoku/>
        <w:wordWrap/>
        <w:overflowPunct/>
        <w:topLinePunct w:val="0"/>
        <w:autoSpaceDE/>
        <w:autoSpaceDN/>
        <w:bidi w:val="0"/>
        <w:adjustRightInd/>
        <w:snapToGrid/>
        <w:spacing w:after="0" w:line="560" w:lineRule="exact"/>
        <w:ind w:firstLine="602"/>
        <w:textAlignment w:val="auto"/>
        <w:outlineLvl w:val="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费用支付  </w:t>
      </w:r>
    </w:p>
    <w:p w14:paraId="6E0E7B2E">
      <w:pPr>
        <w:pStyle w:val="19"/>
        <w:keepNext w:val="0"/>
        <w:keepLines w:val="0"/>
        <w:pageBreakBefore w:val="0"/>
        <w:numPr>
          <w:ilvl w:val="0"/>
          <w:numId w:val="0"/>
        </w:numPr>
        <w:tabs>
          <w:tab w:val="left" w:pos="1083"/>
        </w:tabs>
        <w:kinsoku/>
        <w:wordWrap/>
        <w:overflowPunct/>
        <w:topLinePunct w:val="0"/>
        <w:autoSpaceDE/>
        <w:autoSpaceDN/>
        <w:bidi w:val="0"/>
        <w:adjustRightInd/>
        <w:snapToGrid/>
        <w:spacing w:after="0" w:line="560" w:lineRule="exact"/>
        <w:ind w:firstLine="600"/>
        <w:textAlignment w:val="auto"/>
        <w:outlineLvl w:val="0"/>
        <w:rPr>
          <w:rFonts w:hint="eastAsia"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b w:val="0"/>
          <w:bCs/>
          <w:sz w:val="30"/>
          <w:szCs w:val="30"/>
          <w:highlight w:val="none"/>
          <w:lang w:val="en-US" w:eastAsia="zh-CN"/>
        </w:rPr>
        <w:t>支付期数3期：合同签订生效后10个工作日完成第一期付款，支付合同款项的50%；半年考核合格后10个工作日完成第二期付款，支付合同款项的30%；合同结束后10个工作日按实结算并支付合同尾款。</w:t>
      </w:r>
    </w:p>
    <w:p w14:paraId="78F047F5">
      <w:pPr>
        <w:pStyle w:val="19"/>
        <w:keepNext w:val="0"/>
        <w:keepLines w:val="0"/>
        <w:pageBreakBefore w:val="0"/>
        <w:widowControl w:val="0"/>
        <w:numPr>
          <w:ilvl w:val="0"/>
          <w:numId w:val="0"/>
        </w:numPr>
        <w:tabs>
          <w:tab w:val="left" w:pos="1083"/>
        </w:tabs>
        <w:kinsoku/>
        <w:wordWrap/>
        <w:overflowPunct/>
        <w:topLinePunct w:val="0"/>
        <w:autoSpaceDE/>
        <w:autoSpaceDN/>
        <w:bidi w:val="0"/>
        <w:adjustRightInd/>
        <w:snapToGrid/>
        <w:ind w:firstLine="600"/>
        <w:textAlignment w:val="auto"/>
        <w:outlineLvl w:val="0"/>
        <w:rPr>
          <w:rFonts w:hint="eastAsia"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b w:val="0"/>
          <w:bCs/>
          <w:sz w:val="30"/>
          <w:szCs w:val="30"/>
          <w:highlight w:val="none"/>
          <w:lang w:val="en-US" w:eastAsia="zh-CN"/>
        </w:rPr>
        <w:t>我公司承诺无条件响应上述技术服务及商务要求、售后服务要求、费用支付内容。</w:t>
      </w:r>
    </w:p>
    <w:p w14:paraId="45F4D40E">
      <w:pPr>
        <w:pStyle w:val="19"/>
        <w:keepNext w:val="0"/>
        <w:keepLines w:val="0"/>
        <w:pageBreakBefore w:val="0"/>
        <w:widowControl w:val="0"/>
        <w:numPr>
          <w:ilvl w:val="0"/>
          <w:numId w:val="0"/>
        </w:numPr>
        <w:tabs>
          <w:tab w:val="left" w:pos="1083"/>
        </w:tabs>
        <w:kinsoku/>
        <w:wordWrap/>
        <w:overflowPunct/>
        <w:topLinePunct w:val="0"/>
        <w:autoSpaceDE/>
        <w:autoSpaceDN/>
        <w:bidi w:val="0"/>
        <w:adjustRightInd/>
        <w:snapToGrid/>
        <w:ind w:firstLine="600"/>
        <w:textAlignment w:val="auto"/>
        <w:outlineLvl w:val="0"/>
        <w:rPr>
          <w:rFonts w:hint="eastAsia"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b w:val="0"/>
          <w:bCs/>
          <w:sz w:val="30"/>
          <w:szCs w:val="30"/>
          <w:highlight w:val="none"/>
          <w:lang w:val="en-US" w:eastAsia="zh-CN"/>
        </w:rPr>
        <w:t xml:space="preserve">                                     供应商（盖章）</w:t>
      </w:r>
    </w:p>
    <w:p w14:paraId="2C2F4768">
      <w:pPr>
        <w:pStyle w:val="19"/>
        <w:keepNext w:val="0"/>
        <w:keepLines w:val="0"/>
        <w:pageBreakBefore w:val="0"/>
        <w:widowControl w:val="0"/>
        <w:numPr>
          <w:ilvl w:val="0"/>
          <w:numId w:val="0"/>
        </w:numPr>
        <w:tabs>
          <w:tab w:val="left" w:pos="1083"/>
        </w:tabs>
        <w:kinsoku/>
        <w:wordWrap/>
        <w:overflowPunct/>
        <w:topLinePunct w:val="0"/>
        <w:autoSpaceDE/>
        <w:autoSpaceDN/>
        <w:bidi w:val="0"/>
        <w:adjustRightInd/>
        <w:snapToGrid/>
        <w:ind w:firstLine="600"/>
        <w:textAlignment w:val="auto"/>
        <w:outlineLvl w:val="0"/>
        <w:rPr>
          <w:rFonts w:hint="eastAsia"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b w:val="0"/>
          <w:bCs/>
          <w:sz w:val="30"/>
          <w:szCs w:val="30"/>
          <w:highlight w:val="none"/>
          <w:lang w:val="en-US" w:eastAsia="zh-CN"/>
        </w:rPr>
        <w:t xml:space="preserve">                                  </w:t>
      </w:r>
      <w:r>
        <w:rPr>
          <w:rFonts w:hint="eastAsia" w:ascii="仿宋_GB2312" w:hAnsi="仿宋_GB2312" w:eastAsia="仿宋_GB2312" w:cs="仿宋_GB2312"/>
          <w:b w:val="0"/>
          <w:bCs/>
          <w:sz w:val="30"/>
          <w:szCs w:val="30"/>
          <w:highlight w:val="none"/>
          <w:lang w:val="en-US" w:eastAsia="zh-CN"/>
        </w:rPr>
        <w:tab/>
      </w:r>
      <w:r>
        <w:rPr>
          <w:rFonts w:hint="eastAsia" w:ascii="仿宋_GB2312" w:hAnsi="仿宋_GB2312" w:eastAsia="仿宋_GB2312" w:cs="仿宋_GB2312"/>
          <w:b w:val="0"/>
          <w:bCs/>
          <w:sz w:val="30"/>
          <w:szCs w:val="30"/>
          <w:highlight w:val="none"/>
          <w:lang w:val="en-US" w:eastAsia="zh-CN"/>
        </w:rPr>
        <w:t>日期：</w:t>
      </w:r>
    </w:p>
    <w:sectPr>
      <w:headerReference r:id="rId3" w:type="default"/>
      <w:footerReference r:id="rId4" w:type="default"/>
      <w:type w:val="continuous"/>
      <w:pgSz w:w="11901" w:h="16821"/>
      <w:pgMar w:top="1440" w:right="1680" w:bottom="2880" w:left="1680" w:header="720" w:footer="144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F4B6A1A1-C0CA-4871-840A-A69FF4B95999}"/>
  </w:font>
  <w:font w:name="方正仿宋_GB2312">
    <w:panose1 w:val="02000000000000000000"/>
    <w:charset w:val="86"/>
    <w:family w:val="auto"/>
    <w:pitch w:val="default"/>
    <w:sig w:usb0="A00002BF" w:usb1="184F6CFA" w:usb2="00000012" w:usb3="00000000" w:csb0="00040001" w:csb1="00000000"/>
    <w:embedRegular r:id="rId2" w:fontKey="{AF854586-C76A-46A8-A451-68BC8064517C}"/>
  </w:font>
  <w:font w:name="仿宋_GB2312">
    <w:panose1 w:val="02010609030101010101"/>
    <w:charset w:val="86"/>
    <w:family w:val="auto"/>
    <w:pitch w:val="default"/>
    <w:sig w:usb0="00000001" w:usb1="080E0000" w:usb2="00000000" w:usb3="00000000" w:csb0="00040000" w:csb1="00000000"/>
    <w:embedRegular r:id="rId3" w:fontKey="{CB2C4372-8AA4-4458-AA95-9D0FC307751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A47B">
    <w:pPr>
      <w:spacing w:line="192" w:lineRule="auto"/>
      <w:jc w:val="center"/>
      <w:rPr>
        <w:rFonts w:hint="eastAsia" w:eastAsiaTheme="minorEastAsia"/>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D4DCB">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5D4DCB">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A4C6">
    <w:pPr>
      <w:rPr>
        <w:rFonts w:hint="default" w:eastAsiaTheme="minorEastAsia"/>
        <w:lang w:val="en-US" w:eastAsia="zh-CN"/>
      </w:rPr>
    </w:pPr>
    <w:r>
      <w:rPr>
        <w:rFonts w:hint="eastAsia"/>
        <w:lang w:val="en-US" w:eastAsia="zh-CN"/>
      </w:rPr>
      <w:t>大成律师250715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3F6F7"/>
    <w:multiLevelType w:val="singleLevel"/>
    <w:tmpl w:val="AFE3F6F7"/>
    <w:lvl w:ilvl="0" w:tentative="0">
      <w:start w:val="1"/>
      <w:numFmt w:val="chineseCounting"/>
      <w:suff w:val="nothing"/>
      <w:lvlText w:val="%1、"/>
      <w:lvlJc w:val="left"/>
      <w:pPr>
        <w:ind w:left="0" w:firstLine="482"/>
      </w:pPr>
      <w:rPr>
        <w:rFonts w:hint="eastAsia"/>
      </w:rPr>
    </w:lvl>
  </w:abstractNum>
  <w:abstractNum w:abstractNumId="1">
    <w:nsid w:val="530C0BF7"/>
    <w:multiLevelType w:val="singleLevel"/>
    <w:tmpl w:val="530C0BF7"/>
    <w:lvl w:ilvl="0" w:tentative="0">
      <w:start w:val="1"/>
      <w:numFmt w:val="decimal"/>
      <w:suff w:val="nothing"/>
      <w:lvlText w:val="%1、"/>
      <w:lvlJc w:val="left"/>
      <w:pPr>
        <w:ind w:left="0" w:firstLine="480"/>
      </w:pPr>
      <w:rPr>
        <w:rFonts w:hint="default"/>
      </w:rPr>
    </w:lvl>
  </w:abstractNum>
  <w:abstractNum w:abstractNumId="2">
    <w:nsid w:val="78391CD4"/>
    <w:multiLevelType w:val="singleLevel"/>
    <w:tmpl w:val="78391CD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26C6FEE"/>
    <w:rsid w:val="0C5D19EC"/>
    <w:rsid w:val="0D072BD3"/>
    <w:rsid w:val="0D5E661A"/>
    <w:rsid w:val="180520BE"/>
    <w:rsid w:val="1E523FCF"/>
    <w:rsid w:val="21524325"/>
    <w:rsid w:val="21D15D05"/>
    <w:rsid w:val="284513D7"/>
    <w:rsid w:val="2954135C"/>
    <w:rsid w:val="29931591"/>
    <w:rsid w:val="2C231B78"/>
    <w:rsid w:val="343320B7"/>
    <w:rsid w:val="348445F4"/>
    <w:rsid w:val="35BC3E50"/>
    <w:rsid w:val="38151230"/>
    <w:rsid w:val="3F373F39"/>
    <w:rsid w:val="401D10DD"/>
    <w:rsid w:val="438F7316"/>
    <w:rsid w:val="47E717DC"/>
    <w:rsid w:val="4BB42066"/>
    <w:rsid w:val="4D5155E7"/>
    <w:rsid w:val="4D565C2E"/>
    <w:rsid w:val="4EF67A48"/>
    <w:rsid w:val="543069CA"/>
    <w:rsid w:val="5A6110AE"/>
    <w:rsid w:val="5AC178D1"/>
    <w:rsid w:val="5D0E4DF8"/>
    <w:rsid w:val="5DD10447"/>
    <w:rsid w:val="60A47CDE"/>
    <w:rsid w:val="66E75F6A"/>
    <w:rsid w:val="6B6B029E"/>
    <w:rsid w:val="6B7C2C9A"/>
    <w:rsid w:val="71507EF8"/>
    <w:rsid w:val="7A1848A9"/>
    <w:rsid w:val="7A480875"/>
    <w:rsid w:val="7DDC34B8"/>
    <w:rsid w:val="7EE7F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3">
    <w:name w:val="heading 2"/>
    <w:next w:val="1"/>
    <w:semiHidden/>
    <w:unhideWhenUsed/>
    <w:qFormat/>
    <w:uiPriority w:val="0"/>
    <w:pPr>
      <w:keepNext w:val="0"/>
      <w:keepLines w:val="0"/>
      <w:widowControl w:val="0"/>
      <w:spacing w:beforeAutospacing="0" w:after="120" w:afterAutospacing="0" w:line="360" w:lineRule="auto"/>
      <w:jc w:val="left"/>
      <w:outlineLvl w:val="1"/>
    </w:pPr>
    <w:rPr>
      <w:rFonts w:ascii="Times New Roman" w:hAnsi="Times New Roman" w:eastAsia="宋体" w:cs="Times New Roman"/>
      <w:b/>
      <w:sz w:val="24"/>
    </w:rPr>
  </w:style>
  <w:style w:type="paragraph" w:styleId="4">
    <w:name w:val="heading 3"/>
    <w:next w:val="1"/>
    <w:semiHidden/>
    <w:unhideWhenUsed/>
    <w:qFormat/>
    <w:uiPriority w:val="0"/>
    <w:pPr>
      <w:keepNext w:val="0"/>
      <w:keepLines w:val="0"/>
      <w:widowControl w:val="0"/>
      <w:spacing w:beforeAutospacing="0" w:after="120" w:afterAutospacing="0" w:line="360" w:lineRule="auto"/>
      <w:jc w:val="left"/>
      <w:outlineLvl w:val="2"/>
    </w:pPr>
    <w:rPr>
      <w:rFonts w:ascii="Times New Roman" w:hAnsi="Times New Roman" w:eastAsia="宋体" w:cs="Times New Roman"/>
      <w:b/>
      <w:sz w:val="24"/>
    </w:rPr>
  </w:style>
  <w:style w:type="paragraph" w:styleId="5">
    <w:name w:val="heading 4"/>
    <w:next w:val="1"/>
    <w:semiHidden/>
    <w:unhideWhenUsed/>
    <w:qFormat/>
    <w:uiPriority w:val="0"/>
    <w:pPr>
      <w:keepNext w:val="0"/>
      <w:keepLines w:val="0"/>
      <w:widowControl w:val="0"/>
      <w:spacing w:beforeAutospacing="0" w:after="120" w:afterAutospacing="0" w:line="360" w:lineRule="auto"/>
      <w:outlineLvl w:val="3"/>
    </w:pPr>
    <w:rPr>
      <w:rFonts w:ascii="Times New Roman" w:hAnsi="Times New Roman" w:eastAsia="宋体" w:cs="Times New Roman"/>
      <w:sz w:val="24"/>
    </w:rPr>
  </w:style>
  <w:style w:type="paragraph" w:styleId="6">
    <w:name w:val="heading 5"/>
    <w:next w:val="1"/>
    <w:semiHidden/>
    <w:unhideWhenUsed/>
    <w:qFormat/>
    <w:uiPriority w:val="0"/>
    <w:pPr>
      <w:keepNext w:val="0"/>
      <w:keepLines w:val="0"/>
      <w:widowControl w:val="0"/>
      <w:spacing w:beforeLines="0" w:beforeAutospacing="0" w:after="120" w:afterLines="0" w:afterAutospacing="0" w:line="440" w:lineRule="exact"/>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spacing w:beforeLines="0" w:beforeAutospacing="0" w:after="120" w:afterLines="0" w:afterAutospacing="0" w:line="360" w:lineRule="auto"/>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spacing w:beforeLines="0" w:beforeAutospacing="0" w:after="120" w:afterLines="0" w:afterAutospacing="0" w:line="360" w:lineRule="auto"/>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spacing w:beforeLines="0" w:beforeAutospacing="0" w:after="120" w:afterLines="0" w:afterAutospacing="0" w:line="360" w:lineRule="auto"/>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spacing w:beforeLines="0" w:beforeAutospacing="0" w:after="120" w:afterLines="0" w:afterAutospacing="0" w:line="360" w:lineRule="auto"/>
      <w:jc w:val="left"/>
      <w:outlineLvl w:val="8"/>
    </w:pPr>
    <w:rPr>
      <w:rFonts w:ascii="Times New Roman" w:hAnsi="Times New Roman" w:eastAsia="宋体" w:cs="Times New Roman"/>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widowControl w:val="0"/>
      <w:spacing w:beforeLines="0" w:beforeAutospacing="0" w:after="240" w:afterLines="0" w:afterAutospacing="0" w:line="240" w:lineRule="auto"/>
      <w:jc w:val="center"/>
      <w:outlineLvl w:val="9"/>
    </w:pPr>
    <w:rPr>
      <w:rFonts w:ascii="Times New Roman" w:hAnsi="Times New Roman" w:eastAsia="宋体" w:cs="Times New Roman"/>
      <w:kern w:val="28"/>
      <w:sz w:val="21"/>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qFormat/>
    <w:uiPriority w:val="0"/>
    <w:pPr>
      <w:spacing w:before="240" w:beforeAutospacing="0" w:after="240" w:afterAutospacing="0" w:line="240" w:lineRule="auto"/>
      <w:jc w:val="center"/>
      <w:outlineLvl w:val="9"/>
    </w:pPr>
    <w:rPr>
      <w:rFonts w:ascii="Times New Roman" w:hAnsi="Times New Roman" w:eastAsia="宋体" w:cs="Times New Roman"/>
      <w:b/>
      <w:sz w:val="32"/>
    </w:rPr>
  </w:style>
  <w:style w:type="paragraph" w:customStyle="1" w:styleId="19">
    <w:name w:val="强调标题"/>
    <w:next w:val="1"/>
    <w:qFormat/>
    <w:uiPriority w:val="0"/>
    <w:pPr>
      <w:spacing w:after="120" w:line="360" w:lineRule="auto"/>
      <w:ind w:firstLine="420" w:firstLineChars="200"/>
      <w:outlineLvl w:val="0"/>
    </w:pPr>
    <w:rPr>
      <w:rFonts w:ascii="Calibri" w:hAnsi="Calibri" w:eastAsia="宋体" w:cs="Times New Roman"/>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1110</Words>
  <Characters>1132</Characters>
  <TotalTime>4</TotalTime>
  <ScaleCrop>false</ScaleCrop>
  <LinksUpToDate>false</LinksUpToDate>
  <CharactersWithSpaces>1215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2025-07-03T10:03:00Z</dcterms:created>
  <dc:creator>INTSIG</dc:creator>
  <dc:description>Intsig Word Converter</dc:description>
  <cp:lastModifiedBy>WPS_1702459402</cp:lastModifiedBy>
  <cp:lastPrinted>2025-07-08T12:01:00Z</cp:lastPrinted>
  <dcterms:modified xsi:type="dcterms:W3CDTF">2025-07-17T01:02:19Z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eyJoZGlkIjoiMDM1MzMwZjA5ODZkODExOTQxZTI3YzlmMTYyOTFmNWIiLCJ1c2VySWQiOiIxNTcwMjY4OTk4In0=</vt:lpwstr>
  </property>
  <property fmtid="{D5CDD505-2E9C-101B-9397-08002B2CF9AE}" pid="3" name="KSOProductBuildVer">
    <vt:lpwstr>2052-12.1.0.21915</vt:lpwstr>
  </property>
  <property fmtid="{D5CDD505-2E9C-101B-9397-08002B2CF9AE}" pid="4" name="ICV">
    <vt:lpwstr>2016D4ECC8ACBF2A825A76682E6B429C_43</vt:lpwstr>
  </property>
</Properties>
</file>