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 w:val="0"/>
        <w:spacing w:line="360" w:lineRule="auto"/>
        <w:ind w:firstLine="720" w:firstLineChars="200"/>
        <w:jc w:val="center"/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-SA"/>
        </w:rPr>
      </w:pPr>
    </w:p>
    <w:p>
      <w:pPr>
        <w:widowControl w:val="0"/>
        <w:snapToGrid w:val="0"/>
        <w:spacing w:line="360" w:lineRule="auto"/>
        <w:jc w:val="center"/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-SA"/>
        </w:rPr>
        <w:t>2020年度第一批水利建设市场主体“双随机、一公开”抽查结果公开表</w:t>
      </w:r>
    </w:p>
    <w:tbl>
      <w:tblPr>
        <w:tblStyle w:val="7"/>
        <w:tblW w:w="98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1395"/>
        <w:gridCol w:w="2417"/>
        <w:gridCol w:w="2173"/>
        <w:gridCol w:w="3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tblHeader/>
          <w:jc w:val="center"/>
        </w:trPr>
        <w:tc>
          <w:tcPr>
            <w:tcW w:w="5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241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  <w:t>存在问题</w:t>
            </w:r>
          </w:p>
        </w:tc>
        <w:tc>
          <w:tcPr>
            <w:tcW w:w="217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  <w:t>处理意见</w:t>
            </w:r>
          </w:p>
        </w:tc>
        <w:tc>
          <w:tcPr>
            <w:tcW w:w="32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8"/>
                <w:szCs w:val="28"/>
                <w:highlight w:val="none"/>
              </w:rPr>
              <w:t>处理依据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  <w:jc w:val="center"/>
        </w:trPr>
        <w:tc>
          <w:tcPr>
            <w:tcW w:w="574" w:type="dxa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三明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市联盛工程咨询有限公司</w:t>
            </w:r>
          </w:p>
        </w:tc>
        <w:tc>
          <w:tcPr>
            <w:tcW w:w="2417" w:type="dxa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全国水利建设市场监管平台信息更新不及时；个别监理人员同时在两个以上水利工程项目从事监理业务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2173" w:type="dxa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《水利部关于印发水利建设市场主体信用信息管理办法的通知》（水建设〔2019〕306号）；《水利工程建设监理规定》（水利部令第28号）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南平市建诚水利水电工程监理有限公司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全国水利建设市场监管平台信息更新不及时；未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提供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水利工程造价工程师注册人员的信息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；未提供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对监理项目管理巡查记录。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《水利部关于印发水利建设市场主体信用信息管理办法的通知》（水建设〔2019〕306号）；《水利工程建设监理单位资质管理办法》（水利部令第40号）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《水利工程施工监理规范（SL288-2014）》。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三明闽源工程质量检测有限公司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全国水利建设市场监管平台信息更新不及时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《水利部关于印发水利建设市场主体信用信息管理办法的通知》（水建设〔2019〕306号）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福建省永正工程质量检测有限公司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0"/>
              </w:numPr>
              <w:spacing w:after="240" w:line="465" w:lineRule="atLeast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检测合同未按年度进行编号；部份检测委托协议书委托单位未签名确认，部分检测合同无签订日期；检测结果不合格项目台帐信息不完整。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《水利工程质量检测管理规定》（水利部令第36号）；《水利工程质量检测管理规定》（水利部令第36号）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福建省华舜水利水电工程有限公司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公司管理制度不完善；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抽查一个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，无合同开展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施工检测；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抽查一个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，施工质量检验制度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和人员职责不清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《建筑业企业资质管理规定》（建设部令第45号）；《建设工程质量管理条例》（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国务院令第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714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）；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《建设工程质量管理条例》（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国务院令第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714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）第三十条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福建省延禹工程建设有限公司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技术负责人资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证明材料不全。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《水利部关于印发水利建设市场主体信用信息管理办法的通知》（水建设〔2019〕306号）；《建筑业企业资质管理规定》（住建部第45号令）。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福建南平九越设计咨询有限公司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抽查两个项目，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设计资料归档不完整、不及时；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抽查部分项目，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不满足规范要求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《水利部关于印发水利建设市场主体信用信息管理办法的通知》（水建设〔2019〕306号）；《建设工程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质量管理条例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》（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水利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令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49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修改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）；《建设工程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质量管理条例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》（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水利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令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49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修改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《水利水电工程初步设计报告编制规程（SL619-2013）》。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福建省南平纵横工程咨询有限公司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抽查一个项目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.设计资料归档不完整、不及时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；抽查一个项目，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不满足规范要求。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《水利部关于印发水利建设市场主体信用信息管理办法的通知》（水建设〔2019〕306号）；《建设工程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质量管理条例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》（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水利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令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49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修改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）；《建设工程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质量管理条例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》（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水利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令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49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修改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《水利水电工程初步设计报告编制规程（SL619-2013）》。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三明明兴水利水电勘察设计有限公司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抽查一个项目，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设计文件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不满足规范要求；抽查一个项目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.设计资料归档不完整、不及时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限期整改，期限一个月；整改不到位或逾期未整改的，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  <w:t>《建筑业企业资质管理规定》（建设部令第22号）；《建设工程勘察设计资质管理规定》（建设部第160号令）；《建设工程勘察设计资质管理规定》（建设部第160号令）。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福建省永川水利水电勘测设计院有限公司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全国水利建设市场监管平台信息更新不及时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总监理工程师同时在两个以上水利工程项目从事监理业务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；抽查一个项目，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未按照监理合同选派人员进驻现场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未履行监理人员变更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手续。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限期整改，期限一个月；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整改不到位或逾期未整改的，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将予以责任追究或行政处罚。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《水利部关于印发水利建设市场主体信用信息管理办法的通知》（水建设〔2019〕306号）；《水利工程建设监理规定》（水利部令第28号）；《水利工程建设监理规定》（水利部令第28号）。</w:t>
            </w:r>
          </w:p>
        </w:tc>
      </w:tr>
    </w:tbl>
    <w:p>
      <w:pPr>
        <w:pStyle w:val="3"/>
        <w:ind w:left="0" w:leftChars="0" w:firstLine="0" w:firstLineChars="0"/>
        <w:jc w:val="left"/>
        <w:rPr>
          <w:color w:val="auto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D6"/>
    <w:rsid w:val="005F603E"/>
    <w:rsid w:val="00934BD6"/>
    <w:rsid w:val="009E3929"/>
    <w:rsid w:val="009F74B8"/>
    <w:rsid w:val="00FC4608"/>
    <w:rsid w:val="01EF6A7D"/>
    <w:rsid w:val="02087EDD"/>
    <w:rsid w:val="023E57C2"/>
    <w:rsid w:val="05C72D59"/>
    <w:rsid w:val="0DCB7780"/>
    <w:rsid w:val="10AC6A85"/>
    <w:rsid w:val="113A63C0"/>
    <w:rsid w:val="119B6DD9"/>
    <w:rsid w:val="138B0478"/>
    <w:rsid w:val="176A6F84"/>
    <w:rsid w:val="17DD7BF8"/>
    <w:rsid w:val="1CEE1C28"/>
    <w:rsid w:val="1EB91699"/>
    <w:rsid w:val="23F00B17"/>
    <w:rsid w:val="24281657"/>
    <w:rsid w:val="25733016"/>
    <w:rsid w:val="2A3A038C"/>
    <w:rsid w:val="2C4A4B10"/>
    <w:rsid w:val="2D51575D"/>
    <w:rsid w:val="2DCC5C75"/>
    <w:rsid w:val="2FBF07C5"/>
    <w:rsid w:val="310E208B"/>
    <w:rsid w:val="337C3385"/>
    <w:rsid w:val="365E49A3"/>
    <w:rsid w:val="368A7247"/>
    <w:rsid w:val="38A50EF6"/>
    <w:rsid w:val="3D2756EF"/>
    <w:rsid w:val="45A3279A"/>
    <w:rsid w:val="48070A39"/>
    <w:rsid w:val="49FD3BE5"/>
    <w:rsid w:val="4B303E9F"/>
    <w:rsid w:val="523C4852"/>
    <w:rsid w:val="549B06B0"/>
    <w:rsid w:val="56C77C7B"/>
    <w:rsid w:val="5AB85FFE"/>
    <w:rsid w:val="5C291705"/>
    <w:rsid w:val="644A17DE"/>
    <w:rsid w:val="64991999"/>
    <w:rsid w:val="68001442"/>
    <w:rsid w:val="6C521C87"/>
    <w:rsid w:val="6E0A7BC0"/>
    <w:rsid w:val="6F565409"/>
    <w:rsid w:val="73BE3828"/>
    <w:rsid w:val="75F8645D"/>
    <w:rsid w:val="7A42234F"/>
    <w:rsid w:val="7E3B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EastAsia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spacing w:line="440" w:lineRule="exact"/>
      <w:ind w:firstLine="480" w:firstLineChars="20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styleId="6">
    <w:name w:val="Emphasis"/>
    <w:basedOn w:val="5"/>
    <w:qFormat/>
    <w:uiPriority w:val="20"/>
    <w:rPr>
      <w:i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Normal Indent1"/>
    <w:basedOn w:val="1"/>
    <w:qFormat/>
    <w:uiPriority w:val="0"/>
    <w:pPr>
      <w:spacing w:line="440" w:lineRule="exact"/>
      <w:ind w:firstLine="480" w:firstLineChars="200"/>
    </w:p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280</Characters>
  <Lines>2</Lines>
  <Paragraphs>1</Paragraphs>
  <TotalTime>1</TotalTime>
  <ScaleCrop>false</ScaleCrop>
  <LinksUpToDate>false</LinksUpToDate>
  <CharactersWithSpaces>327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2020-11-09T07:43:00Z</dcterms:created>
  <dc:creator>admin</dc:creator>
  <cp:lastModifiedBy>Administrator</cp:lastModifiedBy>
  <cp:lastPrinted>2021-01-06T00:48:00Z</cp:lastPrinted>
  <dcterms:modified xsi:type="dcterms:W3CDTF">2021-01-06T00:58:10Z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